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0.png" ContentType="image/png"/>
  <Override PartName="/word/media/image9.png" ContentType="image/png"/>
  <Override PartName="/word/media/image8.jpeg" ContentType="image/jpeg"/>
  <Override PartName="/word/media/image7.png" ContentType="image/png"/>
  <Override PartName="/word/media/image2.png" ContentType="image/png"/>
  <Override PartName="/word/media/image1.jpeg" ContentType="image/jpeg"/>
  <Override PartName="/word/media/image6.png" ContentType="image/png"/>
  <Override PartName="/word/media/image11.png" ContentType="image/png"/>
  <Override PartName="/word/media/image3.jpeg" ContentType="image/jpe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  <w:i/>
          <w:iCs/>
        </w:rPr>
        <w:tab/>
      </w:r>
      <w:r>
        <w:rPr>
          <w:b/>
          <w:bCs/>
          <w:i w:val="false"/>
          <w:iCs w:val="false"/>
        </w:rPr>
        <w:t>ИНЪЕКЦИОННЫЙ ПУТЬ ВВЕДЕНИЯ ЛЕКАРСТВЕННЫХ СРЕДСТВ</w:t>
      </w:r>
    </w:p>
    <w:p>
      <w:pPr>
        <w:pStyle w:val="Normal"/>
        <w:jc w:val="center"/>
        <w:rPr>
          <w:b/>
          <w:b/>
          <w:bCs/>
          <w:i w:val="false"/>
          <w:i w:val="false"/>
          <w:iCs w:val="false"/>
        </w:rPr>
      </w:pPr>
      <w:r>
        <w:rPr>
          <w:sz w:val="12"/>
        </w:rPr>
      </w:r>
    </w:p>
    <w:p>
      <w:pPr>
        <w:pStyle w:val="Normal"/>
        <w:rPr/>
      </w:pPr>
      <w:r>
        <w:rPr>
          <w:b/>
          <w:bCs/>
          <w:i w:val="false"/>
          <w:iCs w:val="false"/>
        </w:rPr>
        <w:t>Парентеральный, инъекционный</w:t>
      </w:r>
      <w:r>
        <w:rPr/>
        <w:t xml:space="preserve"> </w:t>
      </w:r>
      <w:r>
        <w:rPr>
          <w:b/>
        </w:rPr>
        <w:t>путь введения</w:t>
      </w:r>
      <w:r>
        <w:rPr/>
        <w:t xml:space="preserve"> – введение лекарственного вещества во внутренние среды организма, впрыскивая его под давлением при помощи шприца. </w:t>
      </w:r>
    </w:p>
    <w:p>
      <w:pPr>
        <w:pStyle w:val="Normal"/>
        <w:rPr/>
      </w:pPr>
      <w:r>
        <w:rPr>
          <w:i/>
        </w:rPr>
        <w:t xml:space="preserve">Лекарственные формы: </w:t>
      </w:r>
      <w:r>
        <w:rPr/>
        <w:t xml:space="preserve"> стерильные растворы или порошки </w:t>
      </w:r>
      <w:r>
        <w:rPr>
          <w:i/>
        </w:rPr>
        <w:t xml:space="preserve"> </w:t>
      </w:r>
      <w:r>
        <w:rPr/>
        <w:t>в ампулах или флаконах (порошок перед введением смешивается со специальным растворителем).</w:t>
      </w:r>
    </w:p>
    <w:p>
      <w:pPr>
        <w:pStyle w:val="Normal"/>
        <w:rPr/>
      </w:pPr>
      <w:r>
        <w:rPr/>
        <w:t>Лекарства вводятся:</w:t>
      </w:r>
    </w:p>
    <w:p>
      <w:pPr>
        <w:pStyle w:val="Normal"/>
        <w:numPr>
          <w:ilvl w:val="0"/>
          <w:numId w:val="2"/>
        </w:numPr>
        <w:rPr/>
      </w:pPr>
      <w:r>
        <w:rPr/>
        <w:t>в ткани – кожа, подкожная клетчатка, мышцы;</w:t>
      </w:r>
    </w:p>
    <w:p>
      <w:pPr>
        <w:pStyle w:val="Normal"/>
        <w:numPr>
          <w:ilvl w:val="0"/>
          <w:numId w:val="2"/>
        </w:numPr>
        <w:rPr/>
      </w:pPr>
      <w:r>
        <w:rPr/>
        <w:t>в сосуды – вены, артерии, лимфатические сосуды;</w:t>
      </w:r>
    </w:p>
    <w:p>
      <w:pPr>
        <w:pStyle w:val="Normal"/>
        <w:numPr>
          <w:ilvl w:val="0"/>
          <w:numId w:val="2"/>
        </w:numPr>
        <w:rPr/>
      </w:pPr>
      <w:r>
        <w:rPr/>
        <w:t>в полости – брюшная, плевральная, сердечная, суставная;</w:t>
      </w:r>
    </w:p>
    <w:p>
      <w:pPr>
        <w:pStyle w:val="Normal"/>
        <w:numPr>
          <w:ilvl w:val="0"/>
          <w:numId w:val="2"/>
        </w:numPr>
        <w:rPr/>
      </w:pPr>
      <w:r>
        <w:rPr/>
        <w:t>в субарахноидальное пространство – под мозговую оболочку.</w:t>
      </w:r>
    </w:p>
    <w:p>
      <w:pPr>
        <w:pStyle w:val="Normal"/>
        <w:rPr/>
      </w:pPr>
      <w:r>
        <w:rPr>
          <w:b/>
          <w:i/>
        </w:rPr>
        <w:t>Преимущества способа:</w:t>
      </w:r>
    </w:p>
    <w:p>
      <w:pPr>
        <w:pStyle w:val="Normal"/>
        <w:numPr>
          <w:ilvl w:val="0"/>
          <w:numId w:val="3"/>
        </w:numPr>
        <w:rPr/>
      </w:pPr>
      <w:r>
        <w:rPr/>
        <w:t>быстрота действия – применение в неотложной помощи;</w:t>
      </w:r>
    </w:p>
    <w:p>
      <w:pPr>
        <w:pStyle w:val="Normal"/>
        <w:numPr>
          <w:ilvl w:val="0"/>
          <w:numId w:val="3"/>
        </w:numPr>
        <w:rPr/>
      </w:pPr>
      <w:r>
        <w:rPr/>
        <w:t>точность дозировки – исключается воздействие пищеварительных ферментов и барьерная роль печени;</w:t>
      </w:r>
    </w:p>
    <w:p>
      <w:pPr>
        <w:pStyle w:val="Normal"/>
        <w:numPr>
          <w:ilvl w:val="0"/>
          <w:numId w:val="3"/>
        </w:numPr>
        <w:rPr/>
      </w:pPr>
      <w:r>
        <w:rPr/>
        <w:t xml:space="preserve">независимость от состояния пациента. </w:t>
      </w:r>
    </w:p>
    <w:p>
      <w:pPr>
        <w:pStyle w:val="Normal"/>
        <w:rPr/>
      </w:pPr>
      <w:r>
        <w:rPr>
          <w:b/>
          <w:i/>
        </w:rPr>
        <w:t>Недостатки способа</w:t>
      </w:r>
      <w:r>
        <w:rPr>
          <w:i/>
        </w:rPr>
        <w:t>:</w:t>
      </w:r>
      <w:r>
        <w:rPr/>
        <w:t xml:space="preserve"> </w:t>
      </w:r>
    </w:p>
    <w:p>
      <w:pPr>
        <w:pStyle w:val="Normal"/>
        <w:numPr>
          <w:ilvl w:val="0"/>
          <w:numId w:val="4"/>
        </w:numPr>
        <w:rPr/>
      </w:pPr>
      <w:r>
        <w:rPr/>
        <w:t>болезненность, страх пациента перед процедурой;</w:t>
      </w:r>
    </w:p>
    <w:p>
      <w:pPr>
        <w:pStyle w:val="Normal"/>
        <w:numPr>
          <w:ilvl w:val="0"/>
          <w:numId w:val="4"/>
        </w:numPr>
        <w:rPr/>
      </w:pPr>
      <w:r>
        <w:rPr/>
        <w:t>необходимость строжайшего соблюдения асептики и антисептики;</w:t>
      </w:r>
    </w:p>
    <w:p>
      <w:pPr>
        <w:pStyle w:val="Normal"/>
        <w:numPr>
          <w:ilvl w:val="0"/>
          <w:numId w:val="4"/>
        </w:numPr>
        <w:rPr/>
      </w:pPr>
      <w:r>
        <w:rPr/>
        <w:t>требуется обязательная профессиональная компетентность;</w:t>
      </w:r>
    </w:p>
    <w:p>
      <w:pPr>
        <w:pStyle w:val="Normal"/>
        <w:numPr>
          <w:ilvl w:val="0"/>
          <w:numId w:val="4"/>
        </w:numPr>
        <w:rPr/>
      </w:pPr>
      <w:r>
        <w:rPr/>
        <w:t>возможность опасных осложнений.</w:t>
      </w:r>
    </w:p>
    <w:p>
      <w:pPr>
        <w:pStyle w:val="Normal"/>
        <w:rPr>
          <w:b/>
          <w:b/>
          <w:i/>
          <w:i/>
        </w:rPr>
      </w:pPr>
      <w:r>
        <w:rPr>
          <w:sz w:val="12"/>
        </w:rPr>
      </w:r>
    </w:p>
    <w:p>
      <w:pPr>
        <w:pStyle w:val="Normal"/>
        <w:jc w:val="center"/>
        <w:rPr>
          <w:i w:val="false"/>
          <w:i w:val="false"/>
          <w:iCs w:val="false"/>
        </w:rPr>
      </w:pPr>
      <w:r>
        <w:rPr>
          <w:b/>
          <w:i w:val="false"/>
          <w:iCs w:val="false"/>
        </w:rPr>
        <w:t>ВИДЫ ИНЪЕКЦИЙ, ВЫПОЛНЯЕМЫХ МЕДСЕСТРОЙ:</w:t>
      </w:r>
    </w:p>
    <w:p>
      <w:pPr>
        <w:pStyle w:val="Normal"/>
        <w:jc w:val="center"/>
        <w:rPr>
          <w:b/>
          <w:b/>
        </w:rPr>
      </w:pPr>
      <w:r>
        <w:rPr>
          <w:i w:val="false"/>
          <w:iCs w:val="false"/>
          <w:sz w:val="12"/>
        </w:rPr>
      </w:r>
    </w:p>
    <w:p>
      <w:pPr>
        <w:pStyle w:val="Normal"/>
        <w:numPr>
          <w:ilvl w:val="1"/>
          <w:numId w:val="5"/>
        </w:numPr>
        <w:tabs>
          <w:tab w:val="left" w:pos="284" w:leader="none"/>
        </w:tabs>
        <w:rPr/>
      </w:pPr>
      <w:r>
        <w:rPr>
          <w:b/>
          <w:i/>
        </w:rPr>
        <w:t>Внутрикожная (в/к)</w:t>
      </w:r>
      <w:r>
        <w:rPr/>
        <w:t xml:space="preserve"> – лекарство вводится в роговой слой кожи (под эпидермис), образуя папулу («лимонная корочка»). </w:t>
      </w:r>
    </w:p>
    <w:p>
      <w:pPr>
        <w:pStyle w:val="Normal"/>
        <w:rPr/>
      </w:pPr>
      <w:r>
        <w:rPr>
          <w:b/>
          <w:bCs/>
          <w:i/>
        </w:rPr>
        <w:t>Цели</w:t>
      </w:r>
      <w:r>
        <w:rPr/>
        <w:t xml:space="preserve"> – диагностическая (проба на туберкулез) или лечебная (местная анестезия).</w:t>
      </w:r>
    </w:p>
    <w:p>
      <w:pPr>
        <w:pStyle w:val="Normal"/>
        <w:rPr/>
      </w:pPr>
      <w:r>
        <w:rPr>
          <w:i/>
        </w:rPr>
        <w:t>Объем вводимого препарата</w:t>
      </w:r>
      <w:r>
        <w:rPr/>
        <w:t xml:space="preserve"> – 0,1-1,0мл.</w:t>
      </w:r>
    </w:p>
    <w:p>
      <w:pPr>
        <w:pStyle w:val="Normal"/>
        <w:rPr/>
      </w:pPr>
      <w:r>
        <w:rPr>
          <w:i/>
        </w:rPr>
        <w:t>Место введения</w:t>
      </w:r>
      <w:r>
        <w:rPr/>
        <w:t xml:space="preserve"> – внутренняя поверхность предплечья (для проб).</w:t>
      </w:r>
    </w:p>
    <w:p>
      <w:pPr>
        <w:pStyle w:val="Normal"/>
        <w:rPr/>
      </w:pPr>
      <w:r>
        <w:rPr>
          <w:i/>
        </w:rPr>
        <w:t>Объем шприца</w:t>
      </w:r>
      <w:r>
        <w:rPr/>
        <w:t xml:space="preserve"> – 1.0 мл</w:t>
      </w:r>
    </w:p>
    <w:p>
      <w:pPr>
        <w:pStyle w:val="Normal"/>
        <w:rPr/>
      </w:pPr>
      <w:r>
        <w:rPr>
          <w:i/>
        </w:rPr>
        <w:t>Длина иглы</w:t>
      </w:r>
      <w:r>
        <w:rPr/>
        <w:t xml:space="preserve"> – 10 мм</w:t>
      </w:r>
    </w:p>
    <w:p>
      <w:pPr>
        <w:pStyle w:val="Normal"/>
        <w:rPr/>
      </w:pPr>
      <w:r>
        <w:rPr>
          <w:i/>
          <w:iCs/>
        </w:rPr>
        <w:t>Угол введения иглы</w:t>
      </w:r>
      <w:r>
        <w:rPr/>
        <w:t xml:space="preserve"> — 5</w:t>
      </w:r>
      <w:r>
        <w:rPr>
          <w:vertAlign w:val="superscript"/>
        </w:rPr>
        <w:t>о</w:t>
      </w:r>
    </w:p>
    <w:p>
      <w:pPr>
        <w:pStyle w:val="Normal"/>
        <w:rPr>
          <w:vertAlign w:val="superscript"/>
        </w:rPr>
      </w:pPr>
      <w:r>
        <w:rPr>
          <w:sz w:val="12"/>
        </w:rPr>
      </w:r>
    </w:p>
    <w:p>
      <w:pPr>
        <w:pStyle w:val="Normal"/>
        <w:numPr>
          <w:ilvl w:val="1"/>
          <w:numId w:val="5"/>
        </w:numPr>
        <w:tabs>
          <w:tab w:val="left" w:pos="284" w:leader="none"/>
        </w:tabs>
        <w:rPr/>
      </w:pPr>
      <w:r>
        <w:rPr>
          <w:b/>
          <w:i/>
        </w:rPr>
        <w:t>Подкожная  (п/к)</w:t>
      </w:r>
      <w:r>
        <w:rPr/>
        <w:t xml:space="preserve"> – препарат вводится в подкожно-жировую клетчатку.</w:t>
      </w:r>
    </w:p>
    <w:p>
      <w:pPr>
        <w:pStyle w:val="Normal"/>
        <w:numPr>
          <w:ilvl w:val="0"/>
          <w:numId w:val="0"/>
        </w:numPr>
        <w:tabs>
          <w:tab w:val="left" w:pos="284" w:leader="none"/>
        </w:tabs>
        <w:ind w:left="1100" w:right="0" w:hanging="0"/>
        <w:rPr/>
      </w:pPr>
      <w:r>
        <w:rPr>
          <w:b/>
          <w:bCs/>
          <w:i/>
        </w:rPr>
        <w:t>Цели</w:t>
      </w:r>
      <w:r>
        <w:rPr/>
        <w:t xml:space="preserve"> – лечебная </w:t>
      </w:r>
      <w:r>
        <w:rPr/>
        <w:t>введение лекарственных препаратов</w:t>
      </w:r>
      <w:r>
        <w:rPr/>
        <w:t>.</w:t>
      </w:r>
    </w:p>
    <w:p>
      <w:pPr>
        <w:pStyle w:val="Normal"/>
        <w:rPr/>
      </w:pPr>
      <w:r>
        <w:rPr>
          <w:i/>
        </w:rPr>
        <w:t>Объем вводимого препарата</w:t>
      </w:r>
      <w:r>
        <w:rPr/>
        <w:t xml:space="preserve"> – 1,0 — </w:t>
      </w:r>
      <w:r>
        <w:rPr/>
        <w:t xml:space="preserve">3 </w:t>
      </w:r>
      <w:r>
        <w:rPr/>
        <w:t>мл.</w:t>
      </w:r>
    </w:p>
    <w:p>
      <w:pPr>
        <w:pStyle w:val="Normal"/>
        <w:rPr/>
      </w:pPr>
      <w:r>
        <w:rPr>
          <w:i/>
        </w:rPr>
        <w:t>Места введения:</w:t>
      </w:r>
      <w:r>
        <w:rPr/>
        <w:t xml:space="preserve"> наружная </w:t>
      </w:r>
      <w:r>
        <w:rPr/>
        <w:t>средняя треть</w:t>
      </w:r>
      <w:r>
        <w:rPr/>
        <w:t xml:space="preserve"> плеча, подлопаточная область, п</w:t>
      </w:r>
      <w:r>
        <w:rPr/>
        <w:t>ередняя</w:t>
      </w:r>
      <w:r>
        <w:rPr/>
        <w:t xml:space="preserve"> брюшн</w:t>
      </w:r>
      <w:r>
        <w:rPr/>
        <w:t>ая</w:t>
      </w:r>
      <w:r>
        <w:rPr/>
        <w:t xml:space="preserve"> стенк</w:t>
      </w:r>
      <w:r>
        <w:rPr/>
        <w:t>а (околопупочная область)</w:t>
      </w:r>
      <w:r>
        <w:rPr/>
        <w:t xml:space="preserve">, передненаружная </w:t>
      </w:r>
      <w:r>
        <w:rPr/>
        <w:t>средняя треть</w:t>
      </w:r>
      <w:r>
        <w:rPr/>
        <w:t xml:space="preserve"> бедра.</w:t>
      </w:r>
    </w:p>
    <w:p>
      <w:pPr>
        <w:pStyle w:val="Normal"/>
        <w:rPr/>
      </w:pPr>
      <w:r>
        <w:rPr>
          <w:i/>
        </w:rPr>
        <w:t>Объем шприца</w:t>
      </w:r>
      <w:r>
        <w:rPr/>
        <w:t xml:space="preserve"> – 1 мл, 2 мл, 3 мл.</w:t>
      </w:r>
    </w:p>
    <w:p>
      <w:pPr>
        <w:pStyle w:val="Normal"/>
        <w:rPr/>
      </w:pPr>
      <w:r>
        <w:rPr>
          <w:i/>
        </w:rPr>
        <w:t>Длина иглы</w:t>
      </w:r>
      <w:r>
        <w:rPr/>
        <w:t xml:space="preserve"> – 10 мм – 25 мм</w:t>
      </w:r>
    </w:p>
    <w:p>
      <w:pPr>
        <w:pStyle w:val="Normal"/>
        <w:rPr/>
      </w:pPr>
      <w:r>
        <w:rPr>
          <w:i/>
          <w:iCs/>
        </w:rPr>
        <w:t>Угол введения</w:t>
      </w:r>
      <w:r>
        <w:rPr/>
        <w:t xml:space="preserve"> </w:t>
      </w:r>
      <w:r>
        <w:rPr>
          <w:i/>
          <w:iCs/>
        </w:rPr>
        <w:t>иглы</w:t>
      </w:r>
      <w:r>
        <w:rPr/>
        <w:t xml:space="preserve"> — 10 мм — 90</w:t>
      </w:r>
      <w:r>
        <w:rPr>
          <w:vertAlign w:val="superscript"/>
        </w:rPr>
        <w:t>о</w:t>
      </w:r>
    </w:p>
    <w:p>
      <w:pPr>
        <w:pStyle w:val="Normal"/>
        <w:rPr/>
      </w:pPr>
      <w:r>
        <w:rPr/>
        <w:t xml:space="preserve">                                    </w:t>
      </w:r>
      <w:r>
        <w:rPr/>
        <w:t>-  25 мм — 45</w:t>
      </w:r>
      <w:r>
        <w:rPr>
          <w:vertAlign w:val="superscript"/>
        </w:rPr>
        <w:t>о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numPr>
          <w:ilvl w:val="1"/>
          <w:numId w:val="5"/>
        </w:numPr>
        <w:tabs>
          <w:tab w:val="left" w:pos="284" w:leader="none"/>
        </w:tabs>
        <w:rPr/>
      </w:pPr>
      <w:r>
        <w:rPr>
          <w:b/>
          <w:i/>
        </w:rPr>
        <w:t>Внутримышечная</w:t>
      </w:r>
      <w:r>
        <w:rPr/>
        <w:t xml:space="preserve"> </w:t>
      </w:r>
      <w:r>
        <w:rPr>
          <w:b/>
          <w:i/>
        </w:rPr>
        <w:t>(в/м)</w:t>
      </w:r>
      <w:r>
        <w:rPr/>
        <w:t xml:space="preserve">  – препарат вводится в мышцу.</w:t>
      </w:r>
    </w:p>
    <w:p>
      <w:pPr>
        <w:pStyle w:val="Normal"/>
        <w:numPr>
          <w:ilvl w:val="0"/>
          <w:numId w:val="0"/>
        </w:numPr>
        <w:tabs>
          <w:tab w:val="left" w:pos="284" w:leader="none"/>
        </w:tabs>
        <w:ind w:left="1100" w:right="0" w:hanging="0"/>
        <w:rPr/>
      </w:pPr>
      <w:r>
        <w:rPr>
          <w:b/>
          <w:bCs/>
          <w:i/>
        </w:rPr>
        <w:t>Цели</w:t>
      </w:r>
      <w:r>
        <w:rPr/>
        <w:t xml:space="preserve"> – лечебная </w:t>
      </w:r>
      <w:r>
        <w:rPr/>
        <w:t>введение лекарственных препаратов</w:t>
      </w:r>
      <w:r>
        <w:rPr/>
        <w:t>.</w:t>
      </w:r>
    </w:p>
    <w:p>
      <w:pPr>
        <w:pStyle w:val="Normal"/>
        <w:rPr/>
      </w:pPr>
      <w:r>
        <w:rPr>
          <w:i/>
        </w:rPr>
        <w:t>Объем вводимого препарата</w:t>
      </w:r>
      <w:r>
        <w:rPr/>
        <w:t xml:space="preserve"> – 5,0 - 10,0мл.</w:t>
      </w:r>
    </w:p>
    <w:p>
      <w:pPr>
        <w:pStyle w:val="Normal"/>
        <w:rPr/>
      </w:pPr>
      <w:r>
        <w:rPr>
          <w:i/>
        </w:rPr>
        <w:t>Места введения</w:t>
      </w:r>
      <w:r>
        <w:rPr/>
        <w:t>: верхненаружный квадрант ягодицы</w:t>
      </w:r>
      <w:r>
        <w:rPr>
          <w:i/>
        </w:rPr>
        <w:t xml:space="preserve">, </w:t>
      </w:r>
      <w:r>
        <w:rPr/>
        <w:t xml:space="preserve">передненаружная </w:t>
      </w:r>
      <w:r>
        <w:rPr/>
        <w:t>средняя треть</w:t>
      </w:r>
      <w:r>
        <w:rPr/>
        <w:t xml:space="preserve"> бедра, верхняя </w:t>
      </w:r>
      <w:r>
        <w:rPr/>
        <w:t xml:space="preserve">наружная </w:t>
      </w:r>
      <w:r>
        <w:rPr/>
        <w:t>треть плеча (в исключительных случаях).</w:t>
      </w:r>
    </w:p>
    <w:p>
      <w:pPr>
        <w:pStyle w:val="Normal"/>
        <w:rPr/>
      </w:pPr>
      <w:r>
        <w:rPr>
          <w:i/>
        </w:rPr>
        <w:t>Объем шприца</w:t>
      </w:r>
      <w:r>
        <w:rPr/>
        <w:t xml:space="preserve"> – 5 мл – 10 мл</w:t>
      </w:r>
    </w:p>
    <w:p>
      <w:pPr>
        <w:pStyle w:val="Normal"/>
        <w:rPr/>
      </w:pPr>
      <w:r>
        <w:rPr>
          <w:i/>
        </w:rPr>
        <w:t>Длина иглы</w:t>
      </w:r>
      <w:r>
        <w:rPr/>
        <w:t xml:space="preserve"> – 45 мм – 50 мм (у полных людей до 12 см; </w:t>
      </w:r>
      <w:r>
        <w:rPr/>
        <w:t>для плеча и бедра — 25 мм)</w:t>
      </w:r>
    </w:p>
    <w:p>
      <w:pPr>
        <w:pStyle w:val="Normal"/>
        <w:rPr/>
      </w:pPr>
      <w:r>
        <w:rPr>
          <w:i/>
          <w:iCs/>
        </w:rPr>
        <w:t>Угол введения</w:t>
      </w:r>
      <w:r>
        <w:rPr/>
        <w:t xml:space="preserve"> </w:t>
      </w:r>
      <w:r>
        <w:rPr>
          <w:i/>
          <w:iCs/>
        </w:rPr>
        <w:t>иглы</w:t>
      </w:r>
      <w:r>
        <w:rPr/>
        <w:t xml:space="preserve"> — в ягодицу — 90</w:t>
      </w:r>
      <w:r>
        <w:rPr>
          <w:vertAlign w:val="superscript"/>
        </w:rPr>
        <w:t>о</w:t>
      </w:r>
    </w:p>
    <w:p>
      <w:pPr>
        <w:pStyle w:val="Normal"/>
        <w:rPr/>
      </w:pPr>
      <w:r>
        <w:rPr/>
        <w:t xml:space="preserve">                                       </w:t>
      </w:r>
      <w:r>
        <w:rPr/>
        <w:t>в плечо и бедро</w:t>
      </w:r>
      <w:r>
        <w:rPr/>
        <w:t xml:space="preserve"> — 45</w:t>
      </w:r>
      <w:r>
        <w:rPr>
          <w:vertAlign w:val="superscript"/>
        </w:rPr>
        <w:t>о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numPr>
          <w:ilvl w:val="1"/>
          <w:numId w:val="5"/>
        </w:numPr>
        <w:tabs>
          <w:tab w:val="left" w:pos="284" w:leader="none"/>
        </w:tabs>
        <w:rPr/>
      </w:pPr>
      <w:r>
        <w:rPr>
          <w:b/>
          <w:i/>
        </w:rPr>
        <w:t>Внутривенная</w:t>
      </w:r>
      <w:r>
        <w:rPr/>
        <w:t xml:space="preserve"> </w:t>
      </w:r>
      <w:r>
        <w:rPr>
          <w:b/>
          <w:i/>
        </w:rPr>
        <w:t>(в/в)</w:t>
      </w:r>
      <w:r>
        <w:rPr/>
        <w:t xml:space="preserve">  – лекарство вводится в вену струйно из  шприца или капельно через систему для внутривенных инфузий.</w:t>
      </w:r>
    </w:p>
    <w:p>
      <w:pPr>
        <w:pStyle w:val="Normal"/>
        <w:rPr/>
      </w:pPr>
      <w:r>
        <w:rPr>
          <w:b/>
          <w:bCs/>
          <w:i/>
        </w:rPr>
        <w:t>Цель</w:t>
      </w:r>
      <w:r>
        <w:rPr>
          <w:i/>
        </w:rPr>
        <w:t xml:space="preserve">: </w:t>
      </w:r>
      <w:r>
        <w:rPr/>
        <w:t>введение в организм лекарств для быстрой абсорбции;</w:t>
      </w:r>
    </w:p>
    <w:p>
      <w:pPr>
        <w:pStyle w:val="Normal"/>
        <w:rPr/>
      </w:pPr>
      <w:r>
        <w:rPr>
          <w:i/>
        </w:rPr>
        <w:t>Места введения</w:t>
      </w:r>
      <w:r>
        <w:rPr/>
        <w:t xml:space="preserve">: вены локтевого сгиба, предплечья, тыла кисти, стопы, </w:t>
      </w:r>
      <w:r>
        <w:rPr/>
        <w:t>у младенцев вены головы</w:t>
      </w:r>
      <w:r>
        <w:rPr/>
        <w:t>.</w:t>
      </w:r>
    </w:p>
    <w:p>
      <w:pPr>
        <w:pStyle w:val="Normal"/>
        <w:rPr/>
      </w:pPr>
      <w:r>
        <w:rPr>
          <w:i/>
        </w:rPr>
        <w:t>Объем шприца</w:t>
      </w:r>
      <w:r>
        <w:rPr/>
        <w:t xml:space="preserve"> – достаточный по объёму, </w:t>
      </w:r>
      <w:r>
        <w:rPr/>
        <w:t>от 10 до 20 мл</w:t>
      </w:r>
      <w:r>
        <w:rPr/>
        <w:t>.</w:t>
      </w:r>
    </w:p>
    <w:p>
      <w:pPr>
        <w:pStyle w:val="Normal"/>
        <w:rPr/>
      </w:pPr>
      <w:r>
        <w:rPr>
          <w:i/>
        </w:rPr>
        <w:t>Длина иглы</w:t>
      </w:r>
      <w:r>
        <w:rPr/>
        <w:t xml:space="preserve"> – зависят от толщины вены и её особенностей.</w:t>
      </w:r>
    </w:p>
    <w:p>
      <w:pPr>
        <w:pStyle w:val="Normal"/>
        <w:rPr/>
      </w:pPr>
      <w:r>
        <w:rPr>
          <w:i/>
          <w:iCs/>
        </w:rPr>
        <w:t>Угол введения</w:t>
      </w:r>
      <w:r>
        <w:rPr/>
        <w:t xml:space="preserve"> </w:t>
      </w:r>
      <w:r>
        <w:rPr>
          <w:i/>
          <w:iCs/>
        </w:rPr>
        <w:t xml:space="preserve">иглы — </w:t>
      </w:r>
      <w:r>
        <w:rPr>
          <w:i/>
          <w:iCs/>
        </w:rPr>
        <w:t>5 — 30</w:t>
      </w:r>
      <w:r>
        <w:rPr>
          <w:i/>
          <w:iCs/>
          <w:vertAlign w:val="superscript"/>
        </w:rPr>
        <w:t xml:space="preserve">о </w:t>
      </w:r>
      <w:r>
        <w:rPr>
          <w:i/>
          <w:iCs/>
        </w:rPr>
        <w:t>(чтобы игла практически лежала на коже)</w:t>
      </w:r>
    </w:p>
    <w:p>
      <w:pPr>
        <w:pStyle w:val="Normal"/>
        <w:rPr>
          <w:i/>
          <w:i/>
          <w:iCs/>
        </w:rPr>
      </w:pPr>
      <w:r>
        <w:rPr/>
      </w:r>
    </w:p>
    <w:p>
      <w:pPr>
        <w:pStyle w:val="Normal"/>
        <w:numPr>
          <w:ilvl w:val="1"/>
          <w:numId w:val="5"/>
        </w:numPr>
        <w:tabs>
          <w:tab w:val="left" w:pos="284" w:leader="none"/>
        </w:tabs>
        <w:rPr/>
      </w:pPr>
      <w:r>
        <w:rPr>
          <w:b/>
          <w:i/>
        </w:rPr>
        <w:t xml:space="preserve">Внутривенные капельные вливания – </w:t>
      </w:r>
      <w:r>
        <w:rPr/>
        <w:t>введение препаратов через систему для внутривенных инфузий.</w:t>
      </w:r>
    </w:p>
    <w:p>
      <w:pPr>
        <w:pStyle w:val="Normal"/>
        <w:rPr/>
      </w:pPr>
      <w:r>
        <w:rPr>
          <w:b/>
          <w:bCs/>
          <w:i/>
        </w:rPr>
        <w:t>Цели</w:t>
      </w:r>
      <w:r>
        <w:rPr>
          <w:i/>
        </w:rPr>
        <w:t xml:space="preserve">: </w:t>
      </w:r>
    </w:p>
    <w:p>
      <w:pPr>
        <w:pStyle w:val="Normal"/>
        <w:numPr>
          <w:ilvl w:val="0"/>
          <w:numId w:val="1"/>
        </w:numPr>
        <w:rPr/>
      </w:pPr>
      <w:r>
        <w:rPr/>
        <w:t>восстановление объема циркулирующей крови;</w:t>
      </w:r>
    </w:p>
    <w:p>
      <w:pPr>
        <w:pStyle w:val="Normal"/>
        <w:numPr>
          <w:ilvl w:val="0"/>
          <w:numId w:val="1"/>
        </w:numPr>
        <w:rPr/>
      </w:pPr>
      <w:r>
        <w:rPr/>
        <w:t>парентеральное питание;</w:t>
      </w:r>
    </w:p>
    <w:p>
      <w:pPr>
        <w:pStyle w:val="Normal"/>
        <w:numPr>
          <w:ilvl w:val="0"/>
          <w:numId w:val="1"/>
        </w:numPr>
        <w:rPr/>
      </w:pPr>
      <w:r>
        <w:rPr/>
        <w:t>устранение явлений интоксикации;</w:t>
      </w:r>
    </w:p>
    <w:p>
      <w:pPr>
        <w:pStyle w:val="Normal"/>
        <w:numPr>
          <w:ilvl w:val="0"/>
          <w:numId w:val="1"/>
        </w:numPr>
        <w:rPr/>
      </w:pPr>
      <w:r>
        <w:rPr/>
        <w:t>переливание крови (трансфузия).</w:t>
      </w:r>
    </w:p>
    <w:p>
      <w:pPr>
        <w:pStyle w:val="Normal"/>
        <w:rPr/>
      </w:pPr>
      <w:r>
        <w:rPr>
          <w:i/>
        </w:rPr>
        <w:t>Места введения</w:t>
      </w:r>
      <w:r>
        <w:rPr/>
        <w:t xml:space="preserve">: вены локтевого сгиба, предплечья, тыла кисти, стопы, </w:t>
      </w:r>
      <w:r>
        <w:rPr/>
        <w:t>у младенцев вены головы</w:t>
      </w:r>
      <w:r>
        <w:rPr/>
        <w:t>.</w:t>
      </w:r>
    </w:p>
    <w:p>
      <w:pPr>
        <w:pStyle w:val="Normal"/>
        <w:rPr/>
      </w:pPr>
      <w:r>
        <w:rPr>
          <w:i/>
        </w:rPr>
        <w:t xml:space="preserve">Объем </w:t>
      </w:r>
      <w:r>
        <w:rPr>
          <w:i/>
        </w:rPr>
        <w:t xml:space="preserve">растворов </w:t>
      </w:r>
      <w:r>
        <w:rPr/>
        <w:t xml:space="preserve"> – </w:t>
      </w:r>
      <w:r>
        <w:rPr/>
        <w:t xml:space="preserve">до 7 л строгих </w:t>
      </w:r>
      <w:r>
        <w:rPr/>
        <w:t>ограничени</w:t>
      </w:r>
      <w:r>
        <w:rPr/>
        <w:t>й</w:t>
      </w:r>
      <w:r>
        <w:rPr/>
        <w:t xml:space="preserve"> нет </w:t>
      </w:r>
      <w:r>
        <w:rPr/>
        <w:t>(зависит от назначений врача)</w:t>
      </w:r>
      <w:r>
        <w:rPr/>
        <w:t>.</w:t>
      </w:r>
    </w:p>
    <w:p>
      <w:pPr>
        <w:pStyle w:val="Normal"/>
        <w:rPr/>
      </w:pPr>
      <w:r>
        <w:rPr>
          <w:i/>
        </w:rPr>
        <w:t>Длина иглы</w:t>
      </w:r>
      <w:r>
        <w:rPr/>
        <w:t xml:space="preserve"> – зависят от толщины вены и её особенностей </w:t>
      </w:r>
      <w:r>
        <w:rPr/>
        <w:t>(возможно применение венозного периферического катетера)</w:t>
      </w:r>
    </w:p>
    <w:p>
      <w:pPr>
        <w:pStyle w:val="Normal"/>
        <w:rPr/>
      </w:pPr>
      <w:r>
        <w:rPr>
          <w:i/>
          <w:iCs/>
        </w:rPr>
        <w:t>Угол введения</w:t>
      </w:r>
      <w:r>
        <w:rPr/>
        <w:t xml:space="preserve"> </w:t>
      </w:r>
      <w:r>
        <w:rPr>
          <w:i/>
          <w:iCs/>
        </w:rPr>
        <w:t xml:space="preserve">иглы — </w:t>
      </w:r>
      <w:r>
        <w:rPr>
          <w:i/>
          <w:iCs/>
        </w:rPr>
        <w:t>5 — 30</w:t>
      </w:r>
      <w:r>
        <w:rPr>
          <w:i/>
          <w:iCs/>
          <w:vertAlign w:val="superscript"/>
        </w:rPr>
        <w:t xml:space="preserve">о </w:t>
      </w:r>
      <w:r>
        <w:rPr>
          <w:i/>
          <w:iCs/>
        </w:rPr>
        <w:t>(чтобы игла практически лежала на коже).</w:t>
      </w:r>
    </w:p>
    <w:p>
      <w:pPr>
        <w:pStyle w:val="Normal"/>
        <w:rPr>
          <w:i/>
          <w:i/>
          <w:iCs/>
        </w:rPr>
      </w:pPr>
      <w:r>
        <w:rPr/>
      </w:r>
      <w:r>
        <w:br w:type="page"/>
      </w:r>
    </w:p>
    <w:p>
      <w:pPr>
        <w:pStyle w:val="Normal"/>
        <w:numPr>
          <w:ilvl w:val="0"/>
          <w:numId w:val="0"/>
        </w:numPr>
        <w:spacing w:lineRule="auto" w:line="240"/>
        <w:ind w:firstLine="709"/>
        <w:jc w:val="center"/>
        <w:outlineLvl w:val="3"/>
        <w:rPr/>
      </w:pPr>
      <w:r>
        <w:rPr>
          <w:b/>
        </w:rPr>
        <w:t>ВИДЫ ШПРИЦЕВ</w:t>
      </w:r>
    </w:p>
    <w:p>
      <w:pPr>
        <w:pStyle w:val="Normal"/>
        <w:numPr>
          <w:ilvl w:val="0"/>
          <w:numId w:val="0"/>
        </w:numPr>
        <w:spacing w:lineRule="auto" w:line="240"/>
        <w:ind w:firstLine="709"/>
        <w:jc w:val="center"/>
        <w:outlineLvl w:val="3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/>
        <w:ind w:firstLine="709"/>
        <w:rPr/>
      </w:pPr>
      <w:r>
        <w:rPr/>
        <w:t>Сегодня на отечественном фармацевтическом рынке широко представлены стерильные изделия медицинского назначения. Производители постоянно совершенствуют и расширяют их ассортимент. Особое место среди них занимают шприцы инъекционные одноразового применения</w:t>
      </w:r>
    </w:p>
    <w:p>
      <w:pPr>
        <w:pStyle w:val="Normal"/>
        <w:spacing w:lineRule="auto" w:line="240"/>
        <w:ind w:firstLine="709"/>
        <w:rPr>
          <w:b/>
          <w:b/>
          <w:i/>
          <w:i/>
          <w:sz w:val="16"/>
        </w:rPr>
      </w:pPr>
      <w:r>
        <w:rPr>
          <w:b/>
          <w:i/>
          <w:sz w:val="16"/>
        </w:rPr>
      </w:r>
    </w:p>
    <w:p>
      <w:pPr>
        <w:pStyle w:val="Normal"/>
        <w:spacing w:lineRule="auto" w:line="240"/>
        <w:ind w:firstLine="709"/>
        <w:rPr/>
      </w:pPr>
      <w:r>
        <w:rPr>
          <w:b/>
          <w:i/>
        </w:rPr>
        <w:t>По строению</w:t>
      </w:r>
      <w:r>
        <w:rPr/>
        <w:t xml:space="preserve"> шприцы разделяют на две большие группы:</w:t>
      </w:r>
    </w:p>
    <w:tbl>
      <w:tblPr>
        <w:tblStyle w:val="a9"/>
        <w:tblW w:w="109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652"/>
        <w:gridCol w:w="7335"/>
      </w:tblGrid>
      <w:tr>
        <w:trPr/>
        <w:tc>
          <w:tcPr>
            <w:tcW w:w="365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2009140" cy="1024890"/>
                  <wp:effectExtent l="0" t="0" r="0" b="0"/>
                  <wp:docPr id="1" name="Рисунок 2" descr="http://www.polymery.ru/images/product/image1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http://www.polymery.ru/images/product/image1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0" r="0" b="21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102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ind w:firstLine="35"/>
              <w:rPr/>
            </w:pPr>
            <w:r>
              <w:rPr/>
            </w:r>
          </w:p>
          <w:p>
            <w:pPr>
              <w:pStyle w:val="Normal"/>
              <w:spacing w:lineRule="auto" w:line="240"/>
              <w:ind w:firstLine="35"/>
              <w:rPr/>
            </w:pPr>
            <w:r>
              <w:rPr/>
              <w:t>·а</w:t>
            </w:r>
            <w:r>
              <w:rPr>
                <w:i/>
              </w:rPr>
              <w:t>) двухкомпонентные</w:t>
            </w:r>
            <w:r>
              <w:rPr/>
              <w:t xml:space="preserve"> (цилиндр и поршень); </w:t>
            </w:r>
          </w:p>
          <w:p>
            <w:pPr>
              <w:pStyle w:val="Normal"/>
              <w:spacing w:lineRule="auto" w:line="240"/>
              <w:ind w:firstLine="35"/>
              <w:rPr/>
            </w:pPr>
            <w:r>
              <w:rPr/>
            </w:r>
          </w:p>
          <w:p>
            <w:pPr>
              <w:pStyle w:val="Normal"/>
              <w:spacing w:lineRule="auto" w:line="240"/>
              <w:ind w:firstLine="35"/>
              <w:rPr/>
            </w:pPr>
            <w:r>
              <w:rPr/>
              <w:t xml:space="preserve">·б) </w:t>
            </w:r>
            <w:r>
              <w:rPr>
                <w:i/>
              </w:rPr>
              <w:t xml:space="preserve">трехкомпонентные </w:t>
            </w:r>
            <w:r>
              <w:rPr/>
              <w:t>(цилиндр, поршень и плунжер, т. е. наконечник (уплотнитель) поршня).</w:t>
            </w:r>
          </w:p>
        </w:tc>
      </w:tr>
    </w:tbl>
    <w:p>
      <w:pPr>
        <w:pStyle w:val="Normal"/>
        <w:spacing w:lineRule="auto" w:line="240"/>
        <w:ind w:firstLine="709"/>
        <w:rPr>
          <w:sz w:val="16"/>
        </w:rPr>
      </w:pPr>
      <w:r>
        <w:rPr>
          <w:sz w:val="16"/>
        </w:rPr>
      </w:r>
    </w:p>
    <w:p>
      <w:pPr>
        <w:pStyle w:val="Normal"/>
        <w:spacing w:lineRule="auto" w:line="240"/>
        <w:ind w:firstLine="709"/>
        <w:rPr/>
      </w:pPr>
      <w:r>
        <w:rPr>
          <w:b/>
          <w:i/>
        </w:rPr>
        <w:t>В зависимости от объема</w:t>
      </w:r>
      <w:r>
        <w:rPr/>
        <w:t xml:space="preserve"> они бывают:</w:t>
      </w:r>
    </w:p>
    <w:tbl>
      <w:tblPr>
        <w:tblStyle w:val="a9"/>
        <w:tblW w:w="109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368"/>
        <w:gridCol w:w="7619"/>
      </w:tblGrid>
      <w:tr>
        <w:trPr/>
        <w:tc>
          <w:tcPr>
            <w:tcW w:w="336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2082165" cy="1560830"/>
                  <wp:effectExtent l="0" t="0" r="0" b="0"/>
                  <wp:docPr id="2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ListParagraph"/>
              <w:numPr>
                <w:ilvl w:val="1"/>
                <w:numId w:val="6"/>
              </w:numPr>
              <w:spacing w:lineRule="auto" w:line="240"/>
              <w:ind w:left="175" w:firstLine="66"/>
              <w:rPr/>
            </w:pPr>
            <w:r>
              <w:rPr>
                <w:i/>
              </w:rPr>
              <w:t>малого объема</w:t>
            </w:r>
            <w:r>
              <w:rPr/>
              <w:t xml:space="preserve"> (0,3, 0,5 и 1 мл). </w:t>
            </w:r>
          </w:p>
          <w:p>
            <w:pPr>
              <w:pStyle w:val="ListParagraph"/>
              <w:spacing w:lineRule="auto" w:line="240"/>
              <w:ind w:left="241" w:hanging="0"/>
              <w:rPr/>
            </w:pPr>
            <w:r>
              <w:rPr/>
              <w:t xml:space="preserve">Используют для точного введения лекарственного средства в эндокринологии (инсулиновые шприцы), фтизиатрии (туберкулиновые шприцы), неонатологии, а также для вакцинации и проведения аллергологических внутрикожных проб; </w:t>
            </w:r>
          </w:p>
          <w:p>
            <w:pPr>
              <w:pStyle w:val="ListParagraph"/>
              <w:numPr>
                <w:ilvl w:val="1"/>
                <w:numId w:val="7"/>
              </w:numPr>
              <w:spacing w:lineRule="auto" w:line="240"/>
              <w:ind w:left="175" w:firstLine="66"/>
              <w:rPr/>
            </w:pPr>
            <w:r>
              <w:rPr>
                <w:i/>
              </w:rPr>
              <w:t>стандартного объема</w:t>
            </w:r>
            <w:r>
              <w:rPr/>
              <w:t xml:space="preserve"> (2, 3, 5, 10 и 20 мл). </w:t>
            </w:r>
          </w:p>
          <w:p>
            <w:pPr>
              <w:pStyle w:val="Normal"/>
              <w:spacing w:lineRule="auto" w:line="240"/>
              <w:ind w:left="175" w:firstLine="66"/>
              <w:rPr/>
            </w:pPr>
            <w:r>
              <w:rPr/>
              <w:t xml:space="preserve">Применяют во всех отраслях медицины для выполнения подкожных, внутримышечных, внутривенных и других видов инъекций; </w:t>
            </w:r>
          </w:p>
          <w:p>
            <w:pPr>
              <w:pStyle w:val="ListParagraph"/>
              <w:numPr>
                <w:ilvl w:val="1"/>
                <w:numId w:val="8"/>
              </w:numPr>
              <w:spacing w:lineRule="auto" w:line="240"/>
              <w:ind w:left="601" w:hanging="360"/>
              <w:rPr/>
            </w:pPr>
            <w:r>
              <w:rPr>
                <w:i/>
              </w:rPr>
              <w:t>большого объема</w:t>
            </w:r>
            <w:r>
              <w:rPr/>
              <w:t xml:space="preserve"> (30, 50, 60 и 100 мл). </w:t>
            </w:r>
          </w:p>
          <w:p>
            <w:pPr>
              <w:pStyle w:val="Normal"/>
              <w:spacing w:lineRule="auto" w:line="240"/>
              <w:ind w:firstLine="317"/>
              <w:rPr/>
            </w:pPr>
            <w:r>
              <w:rPr/>
              <w:t>Используют для отсасывания гноя, жидкости и др., введен</w:t>
            </w:r>
            <w:r>
              <w:rPr/>
              <w:t>ия</w:t>
            </w:r>
            <w:r>
              <w:rPr/>
              <w:t xml:space="preserve"> питательных сред, промывания полостей. </w:t>
            </w:r>
          </w:p>
        </w:tc>
      </w:tr>
    </w:tbl>
    <w:p>
      <w:pPr>
        <w:pStyle w:val="Normal"/>
        <w:spacing w:lineRule="auto" w:line="240"/>
        <w:ind w:firstLine="709"/>
        <w:rPr>
          <w:b/>
          <w:b/>
          <w:i/>
          <w:i/>
          <w:sz w:val="16"/>
        </w:rPr>
      </w:pPr>
      <w:r>
        <w:rPr>
          <w:b/>
          <w:i/>
          <w:sz w:val="16"/>
        </w:rPr>
      </w:r>
    </w:p>
    <w:p>
      <w:pPr>
        <w:pStyle w:val="Normal"/>
        <w:spacing w:lineRule="auto" w:line="240"/>
        <w:ind w:firstLine="709"/>
        <w:rPr/>
      </w:pPr>
      <w:r>
        <w:rPr>
          <w:b/>
          <w:i/>
        </w:rPr>
        <w:t>По типу расположения наконечник-корпус</w:t>
      </w:r>
    </w:p>
    <w:tbl>
      <w:tblPr>
        <w:tblStyle w:val="a9"/>
        <w:tblW w:w="5211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59"/>
        <w:gridCol w:w="2551"/>
      </w:tblGrid>
      <w:tr>
        <w:trPr/>
        <w:tc>
          <w:tcPr>
            <w:tcW w:w="265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4445">
                  <wp:extent cx="1271905" cy="906780"/>
                  <wp:effectExtent l="0" t="0" r="0" b="0"/>
                  <wp:docPr id="3" name="Рисунок 3" descr="http://www.polymery.ru/images/product/image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www.polymery.ru/images/product/image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0" r="0" b="16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 xml:space="preserve">а) </w:t>
            </w:r>
            <w:r>
              <w:rPr>
                <w:i/>
              </w:rPr>
              <w:t>коаксиальное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 xml:space="preserve">б) </w:t>
            </w:r>
            <w:r>
              <w:rPr>
                <w:i/>
              </w:rPr>
              <w:t>эксцентрическое</w:t>
            </w:r>
          </w:p>
        </w:tc>
      </w:tr>
    </w:tbl>
    <w:p>
      <w:pPr>
        <w:pStyle w:val="Normal"/>
        <w:spacing w:lineRule="auto" w:line="240"/>
        <w:ind w:firstLine="709"/>
        <w:rPr>
          <w:b/>
          <w:b/>
          <w:i/>
          <w:i/>
        </w:rPr>
      </w:pPr>
      <w:r>
        <w:rPr>
          <w:sz w:val="16"/>
        </w:rPr>
      </w:r>
    </w:p>
    <w:p>
      <w:pPr>
        <w:pStyle w:val="Normal"/>
        <w:spacing w:lineRule="auto" w:line="240"/>
        <w:ind w:firstLine="709"/>
        <w:rPr/>
      </w:pPr>
      <w:r>
        <w:rPr>
          <w:b/>
          <w:i/>
        </w:rPr>
        <w:t>По типу присоединения иглы к конусу цилиндра</w:t>
      </w:r>
      <w:r>
        <w:rPr/>
        <w:t xml:space="preserve"> различают:</w:t>
      </w:r>
    </w:p>
    <w:tbl>
      <w:tblPr>
        <w:tblStyle w:val="a9"/>
        <w:tblW w:w="109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88"/>
      </w:tblGrid>
      <w:tr>
        <w:trPr/>
        <w:tc>
          <w:tcPr>
            <w:tcW w:w="1098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jc w:val="center"/>
              <w:rPr/>
            </w:pPr>
            <w:r>
              <w:rPr/>
              <w:drawing>
                <wp:inline distT="0" distB="0" distL="19050" distR="0">
                  <wp:extent cx="1710690" cy="885825"/>
                  <wp:effectExtent l="0" t="0" r="0" b="0"/>
                  <wp:docPr id="4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</w:t>
            </w:r>
            <w:r>
              <w:rPr/>
              <w:t xml:space="preserve">а)              </w:t>
            </w:r>
            <w:r>
              <w:rPr/>
              <w:drawing>
                <wp:inline distT="0" distB="0" distL="19050" distR="6985">
                  <wp:extent cx="1345565" cy="1150620"/>
                  <wp:effectExtent l="0" t="0" r="0" b="0"/>
                  <wp:docPr id="5" name="Рисунок 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б)                 </w:t>
            </w:r>
            <w:r>
              <w:rPr/>
              <w:drawing>
                <wp:inline distT="0" distB="0" distL="19050" distR="5715">
                  <wp:extent cx="1203960" cy="902970"/>
                  <wp:effectExtent l="0" t="0" r="0" b="0"/>
                  <wp:docPr id="6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в)</w:t>
            </w:r>
          </w:p>
        </w:tc>
      </w:tr>
      <w:tr>
        <w:trPr/>
        <w:tc>
          <w:tcPr>
            <w:tcW w:w="1098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9"/>
              </w:numPr>
              <w:spacing w:lineRule="auto" w:line="240"/>
              <w:rPr/>
            </w:pPr>
            <w:r>
              <w:rPr/>
              <w:t xml:space="preserve">разъем типа Луер, который исключает размыкание шприца от иглы; 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/>
              <w:rPr/>
            </w:pPr>
            <w:r>
              <w:rPr/>
              <w:t xml:space="preserve">разъем типа Луер—Лок, при котором игла вкручивается в шприц; 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/>
              <w:rPr/>
            </w:pPr>
            <w:r>
              <w:rPr/>
              <w:t xml:space="preserve">шприц с несъемной, интегрированной в корпус цилиндра иглой. </w:t>
            </w:r>
          </w:p>
        </w:tc>
      </w:tr>
    </w:tbl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/>
      </w:r>
    </w:p>
    <w:p>
      <w:pPr>
        <w:pStyle w:val="Normal"/>
        <w:spacing w:lineRule="auto" w:line="240"/>
        <w:ind w:firstLine="709"/>
        <w:rPr/>
      </w:pPr>
      <w:r>
        <w:rPr>
          <w:b/>
          <w:i/>
        </w:rPr>
        <w:t>Схематическое изображение инъекционного шприца однократного применения</w:t>
      </w:r>
    </w:p>
    <w:tbl>
      <w:tblPr>
        <w:tblStyle w:val="a9"/>
        <w:tblW w:w="9300" w:type="dxa"/>
        <w:jc w:val="left"/>
        <w:tblInd w:w="31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068"/>
        <w:gridCol w:w="6232"/>
      </w:tblGrid>
      <w:tr>
        <w:trPr/>
        <w:tc>
          <w:tcPr>
            <w:tcW w:w="3068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952500" cy="2505710"/>
                  <wp:effectExtent l="0" t="0" r="0" b="0"/>
                  <wp:docPr id="7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50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1 - нулевая линия градуировки;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2 - линии градуировки;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3 - линия градуировки номинальной вместимости;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4 - линия полной градуированной вместимости;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5 - линия отсчета;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6 - упоры для пальцев;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7 - колпачок наконечника;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8 - отверстие наконечника;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9 - наконечник шприца;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10 - цилиндр;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11 - поршень;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12 - уплотнитель;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13 - шток; </w:t>
            </w:r>
          </w:p>
          <w:p>
            <w:pPr>
              <w:pStyle w:val="Normal"/>
              <w:spacing w:lineRule="auto" w:line="240"/>
              <w:ind w:firstLine="709"/>
              <w:rPr/>
            </w:pPr>
            <w:r>
              <w:rPr/>
              <w:t xml:space="preserve">14 - упор штока </w:t>
            </w:r>
          </w:p>
        </w:tc>
      </w:tr>
    </w:tbl>
    <w:p>
      <w:pPr>
        <w:pStyle w:val="1"/>
        <w:spacing w:lineRule="auto" w:line="240" w:before="0" w:after="0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sz w:val="16"/>
          <w:szCs w:val="24"/>
        </w:rPr>
      </w:r>
    </w:p>
    <w:p>
      <w:pPr>
        <w:pStyle w:val="Pmain"/>
        <w:spacing w:lineRule="auto" w:line="240" w:before="0" w:after="0"/>
        <w:ind w:firstLine="709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color w:val="auto"/>
          <w:sz w:val="24"/>
          <w:szCs w:val="24"/>
        </w:rPr>
        <w:t>Определение цены деления шприца</w:t>
      </w:r>
    </w:p>
    <w:p>
      <w:pPr>
        <w:pStyle w:val="Pmain"/>
        <w:spacing w:lineRule="auto" w:line="240" w:before="0" w:after="0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b/>
          <w:bCs/>
          <w:sz w:val="12"/>
          <w:szCs w:val="24"/>
        </w:rPr>
        <w:drawing>
          <wp:anchor behindDoc="0" distT="0" distB="0" distL="0" distR="9525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895350" cy="2729865"/>
            <wp:effectExtent l="0" t="0" r="0" b="0"/>
            <wp:wrapSquare wrapText="bothSides"/>
            <wp:docPr id="8" name="Рисунок 4" descr="Выбор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Выбор игл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main"/>
        <w:spacing w:lineRule="auto" w:line="240" w:before="0" w:after="0"/>
        <w:ind w:firstLine="709"/>
        <w:rPr/>
      </w:pPr>
      <w:r>
        <w:rPr>
          <w:color w:val="auto"/>
        </w:rPr>
        <w:t xml:space="preserve">Чтобы набрать в шприц нужную дозу лекарственного препарата, надо знать цену деления шприца, т. е. какое количество раствора может находиться между двумя ближайшими делениями цилиндра. Деления и цифры на шприце указывают его вместительность в миллилитрах и долях миллилитра. Для того чтобы определить цену деления, следует найти на цилиндре шприца ближайшую к подыгольному конусу цифру (количество миллилитров) и разделить на число делений на цилиндре (между этой цифрой и подыгольным конусом). Это и будет цена деления шприца. Например, на рисунке, между цифрой 2 и подыгольным конусом четыре деления. 2:4=0,5. Цена деления составляет 0,5 мл. </w:t>
      </w:r>
    </w:p>
    <w:p>
      <w:pPr>
        <w:pStyle w:val="Pmain"/>
        <w:spacing w:lineRule="auto" w:line="240" w:before="0" w:after="0"/>
        <w:ind w:firstLine="709"/>
        <w:rPr/>
      </w:pPr>
      <w:r>
        <w:rPr>
          <w:color w:val="auto"/>
        </w:rPr>
        <w:t xml:space="preserve">Наиболее часто доза лекарственных средств для парентерального введения выражается в миллилитрах и долях миллилитра. Встречаются и другие условные обозначения дозы. Например, больным, страдающим сахарным диабетом, вводят инсулин, назначаемый в единицах действия (ЕД). Поэтому для введения инсулина выпускаются специальные шприцы, на цилиндре которых указаны не доли миллилитра, а единицы действия </w:t>
      </w:r>
    </w:p>
    <w:p>
      <w:pPr>
        <w:pStyle w:val="Normal"/>
        <w:spacing w:lineRule="auto" w:line="240"/>
        <w:ind w:firstLine="709"/>
        <w:rPr>
          <w:b/>
          <w:b/>
          <w:bCs/>
          <w:kern w:val="2"/>
          <w:sz w:val="16"/>
        </w:rPr>
      </w:pPr>
      <w:r>
        <w:rPr>
          <w:b/>
          <w:bCs/>
          <w:kern w:val="2"/>
          <w:sz w:val="16"/>
        </w:rPr>
      </w:r>
    </w:p>
    <w:p>
      <w:pPr>
        <w:pStyle w:val="1"/>
        <w:spacing w:lineRule="auto" w:line="240" w:before="0" w:after="0"/>
        <w:ind w:firstLine="709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Правильно выбираем иглу и шприц</w:t>
      </w:r>
    </w:p>
    <w:p>
      <w:pPr>
        <w:pStyle w:val="1"/>
        <w:spacing w:lineRule="auto" w:line="240" w:before="0" w:after="0"/>
        <w:ind w:firstLine="709"/>
        <w:jc w:val="center"/>
        <w:rPr>
          <w:rFonts w:ascii="Times New Roman" w:hAnsi="Times New Roman" w:cs="Times New Roman"/>
          <w:color w:val="auto"/>
        </w:rPr>
      </w:pPr>
      <w:r>
        <w:rPr>
          <w:sz w:val="8"/>
          <w:szCs w:val="24"/>
        </w:rPr>
      </w:r>
    </w:p>
    <w:p>
      <w:pPr>
        <w:pStyle w:val="Pmain"/>
        <w:spacing w:lineRule="auto" w:line="240" w:before="0" w:after="0"/>
        <w:ind w:firstLine="709"/>
        <w:rPr/>
      </w:pPr>
      <w:r>
        <w:rPr>
          <w:color w:val="auto"/>
        </w:rPr>
        <w:t>В</w:t>
      </w:r>
      <w:r>
        <w:rPr>
          <w:color w:val="auto"/>
        </w:rPr>
        <w:t xml:space="preserve">ыбор калибра иглы зависит от </w:t>
      </w:r>
      <w:r>
        <w:rPr>
          <w:color w:val="auto"/>
        </w:rPr>
        <w:t xml:space="preserve">вида инъекции и </w:t>
      </w:r>
      <w:r>
        <w:rPr>
          <w:color w:val="auto"/>
        </w:rPr>
        <w:t xml:space="preserve">консистенции лекарственного средства, которое нужно ввести. Для инъекций масляных растворов используют иглы большего диаметра, чем при введении водных растворов. </w:t>
      </w:r>
    </w:p>
    <w:p>
      <w:pPr>
        <w:pStyle w:val="Pmain"/>
        <w:spacing w:lineRule="auto" w:line="240" w:before="0" w:after="0"/>
        <w:ind w:firstLine="709"/>
        <w:rPr>
          <w:b w:val="false"/>
          <w:b w:val="false"/>
          <w:bCs w:val="false"/>
          <w:kern w:val="2"/>
        </w:rPr>
      </w:pPr>
      <w:r>
        <w:rPr>
          <w:b w:val="false"/>
          <w:bCs w:val="false"/>
          <w:color w:val="auto"/>
          <w:kern w:val="2"/>
        </w:rPr>
        <w:t>Вместе со шприцем одноразового применения часто упакована и игла для инъекции. Выбирая шприц для инъекции, следует убедиться, что игла, лежащая там, предназначена именно для этой инъекции.</w:t>
      </w:r>
    </w:p>
    <w:p>
      <w:pPr>
        <w:pStyle w:val="Normal"/>
        <w:spacing w:lineRule="auto" w:line="240"/>
        <w:rPr>
          <w:b/>
          <w:b/>
          <w:bCs/>
          <w:kern w:val="2"/>
          <w:sz w:val="12"/>
        </w:rPr>
      </w:pPr>
      <w:r>
        <w:rPr>
          <w:b/>
          <w:bCs/>
          <w:kern w:val="2"/>
          <w:sz w:val="12"/>
        </w:rPr>
      </w:r>
    </w:p>
    <w:p>
      <w:pPr>
        <w:pStyle w:val="Normal"/>
        <w:spacing w:lineRule="auto" w:line="240"/>
        <w:jc w:val="center"/>
        <w:rPr/>
      </w:pPr>
      <w:r>
        <w:rPr>
          <w:b/>
          <w:bCs/>
          <w:kern w:val="2"/>
        </w:rPr>
        <w:t>Конструкция инъекционной иглы</w:t>
      </w:r>
    </w:p>
    <w:tbl>
      <w:tblPr>
        <w:tblStyle w:val="a9"/>
        <w:tblW w:w="109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556"/>
        <w:gridCol w:w="7431"/>
      </w:tblGrid>
      <w:tr>
        <w:trPr/>
        <w:tc>
          <w:tcPr>
            <w:tcW w:w="355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2102485" cy="1499870"/>
                  <wp:effectExtent l="0" t="0" r="0" b="0"/>
                  <wp:docPr id="9" name="Изображение3" descr="C:\Documents and Settings\_slv_\Рабочий стол\сканер\2013-03-09\сканирование0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3" descr="C:\Documents and Settings\_slv_\Рабочий стол\сканер\2013-03-09\сканирование0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0" t="8290" r="65556" b="74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1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а) трубка из стали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б) полиэтиленовая или полипропиленовая головка (</w:t>
            </w:r>
            <w:r>
              <w:rPr>
                <w:b/>
                <w:bCs/>
                <w:i/>
                <w:kern w:val="2"/>
              </w:rPr>
              <w:t>канюля</w:t>
            </w:r>
            <w:r>
              <w:rPr>
                <w:bCs/>
                <w:kern w:val="2"/>
              </w:rPr>
              <w:t>)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в) алюминиевый картридж соединяющий трубку с канюлей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г) соединение трубки с канюлей при помощи биологически нейтрального геля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д) острие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>е) срез</w:t>
            </w:r>
          </w:p>
          <w:p>
            <w:pPr>
              <w:pStyle w:val="Normal"/>
              <w:spacing w:lineRule="auto" w:line="240"/>
              <w:rPr/>
            </w:pPr>
            <w:r>
              <w:rPr>
                <w:bCs/>
                <w:kern w:val="2"/>
              </w:rPr>
              <w:t xml:space="preserve">ж) колпачок </w:t>
            </w:r>
          </w:p>
        </w:tc>
      </w:tr>
    </w:tbl>
    <w:p>
      <w:pPr>
        <w:pStyle w:val="Normal"/>
        <w:spacing w:lineRule="auto" w:line="240"/>
        <w:jc w:val="center"/>
        <w:rPr>
          <w:b/>
          <w:b/>
          <w:bCs/>
          <w:kern w:val="2"/>
        </w:rPr>
      </w:pPr>
      <w:r>
        <w:rPr>
          <w:b/>
          <w:bCs/>
          <w:kern w:val="2"/>
        </w:rPr>
      </w:r>
    </w:p>
    <w:p>
      <w:pPr>
        <w:pStyle w:val="Normal"/>
        <w:spacing w:lineRule="auto" w:line="240"/>
        <w:jc w:val="center"/>
        <w:rPr/>
      </w:pPr>
      <w:r>
        <w:rPr>
          <w:b/>
          <w:bCs/>
          <w:kern w:val="2"/>
        </w:rPr>
        <w:t>Характеристика среза инъекционной иглы</w:t>
      </w:r>
    </w:p>
    <w:tbl>
      <w:tblPr>
        <w:tblStyle w:val="a9"/>
        <w:tblW w:w="1098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27"/>
        <w:gridCol w:w="7760"/>
      </w:tblGrid>
      <w:tr>
        <w:trPr/>
        <w:tc>
          <w:tcPr>
            <w:tcW w:w="322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1870710" cy="1125220"/>
                  <wp:effectExtent l="0" t="0" r="0" b="0"/>
                  <wp:docPr id="10" name="Изображение4" descr="C:\Documents and Settings\_slv_\Рабочий стол\сканер\2013-03-09\сканирование000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4" descr="C:\Documents and Settings\_slv_\Рабочий стол\сканер\2013-03-09\сканирование000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5038" t="6172" r="34257" b="80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/>
              <w:ind w:firstLine="459"/>
              <w:rPr/>
            </w:pPr>
            <w:r>
              <w:rPr>
                <w:bCs/>
                <w:kern w:val="2"/>
              </w:rPr>
              <w:t>Острие иглы затачивается в 3-х плоскостях (копьевидная заточка), что обеспечивает при проколе тканей преобладание колющего эффекта над режущим</w:t>
            </w:r>
          </w:p>
          <w:p>
            <w:pPr>
              <w:pStyle w:val="Normal"/>
              <w:spacing w:lineRule="auto" w:line="240"/>
              <w:ind w:firstLine="459"/>
              <w:rPr/>
            </w:pPr>
            <w:r>
              <w:rPr>
                <w:bCs/>
                <w:kern w:val="2"/>
              </w:rPr>
              <w:t>а) угол заточки 12</w:t>
            </w:r>
            <w:r>
              <w:rPr>
                <w:bCs/>
                <w:kern w:val="2"/>
                <w:vertAlign w:val="superscript"/>
              </w:rPr>
              <w:t>0</w:t>
            </w:r>
            <w:r>
              <w:rPr>
                <w:bCs/>
                <w:kern w:val="2"/>
              </w:rPr>
              <w:t xml:space="preserve"> –длинный срез (предназначены для внутримышечных и подкожных инъекций)</w:t>
            </w:r>
          </w:p>
          <w:p>
            <w:pPr>
              <w:pStyle w:val="Normal"/>
              <w:spacing w:lineRule="auto" w:line="240"/>
              <w:ind w:firstLine="459"/>
              <w:rPr/>
            </w:pPr>
            <w:r>
              <w:rPr>
                <w:bCs/>
                <w:kern w:val="2"/>
              </w:rPr>
              <w:t>б) угол заточки 18</w:t>
            </w:r>
            <w:r>
              <w:rPr>
                <w:bCs/>
                <w:kern w:val="2"/>
                <w:vertAlign w:val="superscript"/>
              </w:rPr>
              <w:t>0</w:t>
            </w:r>
            <w:r>
              <w:rPr>
                <w:bCs/>
                <w:kern w:val="2"/>
              </w:rPr>
              <w:t xml:space="preserve"> – короткий срез (предназначены для проведения внутрикожных проб и внутривенных инъекций)</w:t>
            </w:r>
          </w:p>
        </w:tc>
      </w:tr>
    </w:tbl>
    <w:p>
      <w:pPr>
        <w:pStyle w:val="Normal"/>
        <w:spacing w:lineRule="auto" w:line="240"/>
        <w:jc w:val="center"/>
        <w:rPr>
          <w:b/>
          <w:b/>
          <w:bCs/>
          <w:kern w:val="2"/>
        </w:rPr>
      </w:pPr>
      <w:r>
        <w:rPr>
          <w:b/>
          <w:bCs/>
          <w:kern w:val="2"/>
        </w:rPr>
      </w:r>
    </w:p>
    <w:p>
      <w:pPr>
        <w:pStyle w:val="Normal"/>
        <w:spacing w:lineRule="auto" w:line="240"/>
        <w:jc w:val="center"/>
        <w:rPr/>
      </w:pPr>
      <w:r>
        <w:rPr>
          <w:b/>
          <w:bCs/>
          <w:kern w:val="2"/>
        </w:rPr>
        <w:t>Положение иглы в тканях, при различных видах инъекций</w:t>
      </w:r>
    </w:p>
    <w:tbl>
      <w:tblPr>
        <w:tblStyle w:val="a9"/>
        <w:tblW w:w="6641" w:type="dxa"/>
        <w:jc w:val="left"/>
        <w:tblInd w:w="1636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05"/>
        <w:gridCol w:w="2836"/>
      </w:tblGrid>
      <w:tr>
        <w:trPr>
          <w:trHeight w:val="3286" w:hRule="atLeast"/>
        </w:trPr>
        <w:tc>
          <w:tcPr>
            <w:tcW w:w="3805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drawing>
                <wp:inline distT="0" distB="0" distL="19050" distR="0">
                  <wp:extent cx="2226310" cy="2072640"/>
                  <wp:effectExtent l="0" t="0" r="0" b="0"/>
                  <wp:docPr id="11" name="Рисунок 33" descr=" (700x525, 9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3" descr=" (700x525, 9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994" t="0" r="21289" b="33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/>
              <w:rPr>
                <w:bCs/>
                <w:kern w:val="2"/>
              </w:rPr>
            </w:pPr>
            <w:r>
              <w:rPr>
                <w:bCs/>
                <w:kern w:val="2"/>
              </w:rPr>
            </w:r>
          </w:p>
          <w:p>
            <w:pPr>
              <w:pStyle w:val="Normal"/>
              <w:spacing w:lineRule="auto" w:line="360"/>
              <w:rPr/>
            </w:pPr>
            <w:r>
              <w:rPr>
                <w:bCs/>
                <w:kern w:val="2"/>
              </w:rPr>
              <w:t>а) внутрикожная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bCs/>
                <w:kern w:val="2"/>
              </w:rPr>
              <w:t>б) подкожная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bCs/>
                <w:kern w:val="2"/>
              </w:rPr>
              <w:t>в) внутримышечная</w:t>
            </w:r>
          </w:p>
          <w:p>
            <w:pPr>
              <w:pStyle w:val="Normal"/>
              <w:spacing w:lineRule="auto" w:line="360"/>
              <w:rPr/>
            </w:pPr>
            <w:r>
              <w:rPr>
                <w:bCs/>
                <w:kern w:val="2"/>
              </w:rPr>
              <w:t>г) внутривенная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center"/>
        <w:rPr/>
      </w:pPr>
      <w:r>
        <w:rPr>
          <w:b/>
        </w:rPr>
        <w:t>Физиологические методы обезболивания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ind w:firstLine="709"/>
        <w:rPr/>
      </w:pPr>
      <w:r>
        <w:rPr/>
        <w:t>При проведении инъекции без физиологического обезболивания у пациентов может измениться состояние: может повыситься или понизиться артериальное давление, возникнуть тахикардия или брадикардия, появиться страх в ожидании боли.</w:t>
      </w:r>
    </w:p>
    <w:p>
      <w:pPr>
        <w:pStyle w:val="Normal"/>
        <w:ind w:firstLine="709"/>
        <w:rPr/>
      </w:pPr>
      <w:r>
        <w:rPr/>
        <w:t>Для предупреждения и уменьшения подобных отрицательных эмоций можно применить различные методы физиологического обезболивания.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rPr/>
      </w:pPr>
      <w:r>
        <w:rPr>
          <w:b/>
          <w:i/>
        </w:rPr>
        <w:t>Охранительный метод</w:t>
      </w:r>
    </w:p>
    <w:p>
      <w:pPr>
        <w:pStyle w:val="ListParagraph"/>
        <w:numPr>
          <w:ilvl w:val="0"/>
          <w:numId w:val="10"/>
        </w:numPr>
        <w:rPr/>
      </w:pPr>
      <w:r>
        <w:rPr/>
        <w:t>опрятный вид медицинской сестры</w:t>
      </w:r>
    </w:p>
    <w:p>
      <w:pPr>
        <w:pStyle w:val="ListParagraph"/>
        <w:numPr>
          <w:ilvl w:val="0"/>
          <w:numId w:val="10"/>
        </w:numPr>
        <w:rPr/>
      </w:pPr>
      <w:r>
        <w:rPr/>
        <w:t>чистота и порядок в процедурном кабинете</w:t>
      </w:r>
    </w:p>
    <w:p>
      <w:pPr>
        <w:pStyle w:val="ListParagraph"/>
        <w:numPr>
          <w:ilvl w:val="0"/>
          <w:numId w:val="10"/>
        </w:numPr>
        <w:rPr/>
      </w:pPr>
      <w:r>
        <w:rPr/>
        <w:t xml:space="preserve">подготовка к инъекции без присутствия пациента </w:t>
      </w:r>
      <w:r>
        <w:rPr/>
        <w:t>(по его желанию)</w:t>
      </w:r>
    </w:p>
    <w:p>
      <w:pPr>
        <w:pStyle w:val="ListParagraph"/>
        <w:numPr>
          <w:ilvl w:val="0"/>
          <w:numId w:val="10"/>
        </w:numPr>
        <w:rPr/>
      </w:pPr>
      <w:r>
        <w:rPr/>
        <w:t>соблюдение алгоритма манипуляции</w:t>
      </w:r>
    </w:p>
    <w:p>
      <w:pPr>
        <w:pStyle w:val="ListParagraph"/>
        <w:numPr>
          <w:ilvl w:val="0"/>
          <w:numId w:val="10"/>
        </w:numPr>
        <w:rPr/>
      </w:pPr>
      <w:r>
        <w:rPr/>
        <w:t>использование одноразового инструментария</w:t>
      </w:r>
    </w:p>
    <w:p>
      <w:pPr>
        <w:pStyle w:val="ListParagraph"/>
        <w:numPr>
          <w:ilvl w:val="0"/>
          <w:numId w:val="10"/>
        </w:numPr>
        <w:rPr/>
      </w:pPr>
      <w:r>
        <w:rPr/>
        <w:t>соблюдение особенностей введения некоторых лекарственных средств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rPr/>
      </w:pPr>
      <w:r>
        <w:rPr>
          <w:b/>
          <w:i/>
        </w:rPr>
        <w:t>Речевая психотерапия</w:t>
      </w:r>
    </w:p>
    <w:p>
      <w:pPr>
        <w:pStyle w:val="ListParagraph"/>
        <w:numPr>
          <w:ilvl w:val="0"/>
          <w:numId w:val="3"/>
        </w:numPr>
        <w:rPr/>
      </w:pPr>
      <w:r>
        <w:rPr/>
        <w:t xml:space="preserve">правильно (по имени и отчеству), спокойно пригласить пациента на манипуляцию </w:t>
      </w:r>
    </w:p>
    <w:p>
      <w:pPr>
        <w:pStyle w:val="ListParagraph"/>
        <w:numPr>
          <w:ilvl w:val="0"/>
          <w:numId w:val="3"/>
        </w:numPr>
        <w:rPr/>
      </w:pPr>
      <w:r>
        <w:rPr/>
        <w:t>предупредить пациента о болезненности, необычных ощущениях при введении некоторых лекарственных средств</w:t>
      </w:r>
    </w:p>
    <w:p>
      <w:pPr>
        <w:pStyle w:val="ListParagraph"/>
        <w:numPr>
          <w:ilvl w:val="0"/>
          <w:numId w:val="3"/>
        </w:numPr>
        <w:rPr/>
      </w:pPr>
      <w:r>
        <w:rPr/>
        <w:t>спросить о переносимости препаратов</w:t>
      </w:r>
    </w:p>
    <w:p>
      <w:pPr>
        <w:pStyle w:val="ListParagraph"/>
        <w:numPr>
          <w:ilvl w:val="0"/>
          <w:numId w:val="3"/>
        </w:numPr>
        <w:rPr/>
      </w:pPr>
      <w:r>
        <w:rPr/>
        <w:t>во время инъекции общаться с пациентом, отвлекая его от манипуляции, интересуясь состоянием пациента.</w:t>
      </w:r>
    </w:p>
    <w:p>
      <w:pPr>
        <w:pStyle w:val="Normal"/>
        <w:rPr>
          <w:sz w:val="12"/>
        </w:rPr>
      </w:pPr>
      <w:r>
        <w:rPr>
          <w:sz w:val="12"/>
        </w:rPr>
      </w:r>
    </w:p>
    <w:p>
      <w:pPr>
        <w:pStyle w:val="Normal"/>
        <w:rPr/>
      </w:pPr>
      <w:r>
        <w:rPr>
          <w:b/>
          <w:i/>
        </w:rPr>
        <w:t>Физиологические приемы</w:t>
      </w:r>
    </w:p>
    <w:p>
      <w:pPr>
        <w:pStyle w:val="ListParagraph"/>
        <w:numPr>
          <w:ilvl w:val="0"/>
          <w:numId w:val="4"/>
        </w:numPr>
        <w:rPr/>
      </w:pPr>
      <w:r>
        <w:rPr/>
        <w:t>помочь пациенту принять удобное положение, попросить его расслабить мышцы</w:t>
      </w:r>
    </w:p>
    <w:p>
      <w:pPr>
        <w:pStyle w:val="ListParagraph"/>
        <w:numPr>
          <w:ilvl w:val="0"/>
          <w:numId w:val="4"/>
        </w:numPr>
        <w:rPr/>
      </w:pPr>
      <w:r>
        <w:rPr/>
        <w:t>рекомендовать пациенту глубоко дышать через нос в обычном ритме и после 3-5 вдохов сделать инъекцию на высоте вдоха</w:t>
      </w:r>
    </w:p>
    <w:p>
      <w:pPr>
        <w:pStyle w:val="ListParagraph"/>
        <w:numPr>
          <w:ilvl w:val="0"/>
          <w:numId w:val="4"/>
        </w:numPr>
        <w:rPr/>
      </w:pPr>
      <w:r>
        <w:rPr/>
        <w:t>правильно выбрать и пропальпировать место инъекции</w:t>
      </w:r>
    </w:p>
    <w:p>
      <w:pPr>
        <w:pStyle w:val="ListParagraph"/>
        <w:numPr>
          <w:ilvl w:val="0"/>
          <w:numId w:val="4"/>
        </w:numPr>
        <w:rPr/>
      </w:pPr>
      <w:r>
        <w:rPr/>
        <w:t>вводить лекарственные препараты медленно</w:t>
      </w:r>
    </w:p>
    <w:p>
      <w:pPr>
        <w:pStyle w:val="ListParagraph"/>
        <w:numPr>
          <w:ilvl w:val="0"/>
          <w:numId w:val="4"/>
        </w:numPr>
        <w:rPr/>
      </w:pPr>
      <w:r>
        <w:rPr/>
        <w:t>при необходимости положить на место инъекции грелку</w:t>
      </w:r>
      <w:r>
        <w:rPr>
          <w:i/>
          <w:iCs/>
        </w:rPr>
        <w:t>.</w:t>
      </w:r>
    </w:p>
    <w:sectPr>
      <w:type w:val="nextPage"/>
      <w:pgSz w:w="12240" w:h="15840"/>
      <w:pgMar w:left="723" w:right="744" w:header="0" w:top="695" w:footer="0" w:bottom="81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i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i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Normal"/>
    <w:qFormat/>
    <w:pPr>
      <w:keepNext w:val="true"/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  <w:lang w:eastAsia="en-US"/>
    </w:rPr>
  </w:style>
  <w:style w:type="paragraph" w:styleId="4">
    <w:name w:val="Heading 4"/>
    <w:basedOn w:val="Normal"/>
    <w:qFormat/>
    <w:pPr>
      <w:spacing w:before="374" w:after="374"/>
      <w:ind w:left="374" w:right="374" w:hanging="0"/>
      <w:jc w:val="center"/>
      <w:outlineLvl w:val="3"/>
    </w:pPr>
    <w:rPr>
      <w:rFonts w:ascii="Arial" w:hAnsi="Arial" w:cs="Arial"/>
      <w:b/>
      <w:bCs/>
      <w:color w:val="003366"/>
      <w:sz w:val="26"/>
      <w:szCs w:val="26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53">
    <w:name w:val="ListLabel 53"/>
    <w:qFormat/>
    <w:rPr>
      <w:i/>
    </w:rPr>
  </w:style>
  <w:style w:type="character" w:styleId="ListLabel54">
    <w:name w:val="ListLabel 54"/>
    <w:qFormat/>
    <w:rPr>
      <w:i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ohit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Pmain">
    <w:name w:val="pmain"/>
    <w:basedOn w:val="Normal"/>
    <w:qFormat/>
    <w:pPr>
      <w:spacing w:before="150" w:after="0"/>
      <w:ind w:firstLine="468"/>
      <w:jc w:val="both"/>
    </w:pPr>
    <w:rPr>
      <w:color w:val="00336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LibreOffice/6.0.7.3$Linux_X86_64 LibreOffice_project/00m0$Build-3</Application>
  <Pages>5</Pages>
  <Words>1172</Words>
  <Characters>7590</Characters>
  <CharactersWithSpaces>8784</CharactersWithSpaces>
  <Paragraphs>143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2020-03-03T22:02:05Z</dcterms:created>
  <dc:creator/>
  <dc:description/>
  <dc:language>ru-RU</dc:language>
  <cp:lastModifiedBy/>
  <dcterms:modified xsi:type="dcterms:W3CDTF">2020-03-03T22:51:38Z</dcterms:modified>
  <cp:revision>1</cp:revision>
  <dc:subject/>
  <dc:title/>
</cp:coreProperties>
</file>